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2685C900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92285D">
        <w:rPr>
          <w:rFonts w:ascii="Arial" w:hAnsi="Arial" w:cs="Arial"/>
          <w:b/>
          <w:bCs/>
          <w:sz w:val="32"/>
          <w:szCs w:val="32"/>
        </w:rPr>
        <w:t>21</w:t>
      </w:r>
      <w:r w:rsidR="00F01E91">
        <w:rPr>
          <w:rFonts w:ascii="Arial" w:hAnsi="Arial" w:cs="Arial"/>
          <w:b/>
          <w:bCs/>
          <w:sz w:val="32"/>
          <w:szCs w:val="32"/>
        </w:rPr>
        <w:t xml:space="preserve"> décembre et</w:t>
      </w:r>
      <w:r w:rsidR="008B7919">
        <w:rPr>
          <w:rFonts w:ascii="Arial" w:hAnsi="Arial" w:cs="Arial"/>
          <w:b/>
          <w:bCs/>
          <w:sz w:val="32"/>
          <w:szCs w:val="32"/>
        </w:rPr>
        <w:t xml:space="preserve"> dimanche </w:t>
      </w:r>
      <w:r w:rsidR="0092285D">
        <w:rPr>
          <w:rFonts w:ascii="Arial" w:hAnsi="Arial" w:cs="Arial"/>
          <w:b/>
          <w:bCs/>
          <w:sz w:val="32"/>
          <w:szCs w:val="32"/>
        </w:rPr>
        <w:t xml:space="preserve">22 </w:t>
      </w:r>
      <w:r w:rsidR="008B7919">
        <w:rPr>
          <w:rFonts w:ascii="Arial" w:hAnsi="Arial" w:cs="Arial"/>
          <w:b/>
          <w:bCs/>
          <w:sz w:val="32"/>
          <w:szCs w:val="32"/>
        </w:rPr>
        <w:t>décembre</w:t>
      </w:r>
    </w:p>
    <w:p w14:paraId="0F66727C" w14:textId="61383B04" w:rsidR="008B7919" w:rsidRDefault="0092285D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</w:t>
      </w:r>
      <w:r w:rsidR="00F01E91">
        <w:rPr>
          <w:rFonts w:ascii="Arial" w:hAnsi="Arial" w:cs="Arial"/>
          <w:b/>
          <w:bCs/>
          <w:sz w:val="32"/>
          <w:szCs w:val="32"/>
        </w:rPr>
        <w:t>ème</w:t>
      </w:r>
      <w:r w:rsidR="008B7919">
        <w:rPr>
          <w:rFonts w:ascii="Arial" w:hAnsi="Arial" w:cs="Arial"/>
          <w:b/>
          <w:bCs/>
          <w:sz w:val="32"/>
          <w:szCs w:val="32"/>
        </w:rPr>
        <w:t xml:space="preserve"> dimanche de l’Avent C</w:t>
      </w:r>
      <w:r w:rsidR="00D063B3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6244E8B4" w14:textId="75F9244C" w:rsidR="00834452" w:rsidRPr="00D063B3" w:rsidRDefault="00A95E30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d’ouverture</w:t>
      </w:r>
      <w:r w:rsidR="006F6EA9">
        <w:rPr>
          <w:rFonts w:ascii="Arial" w:hAnsi="Arial" w:cs="Arial"/>
          <w:b/>
          <w:bCs/>
          <w:sz w:val="24"/>
          <w:szCs w:val="24"/>
        </w:rPr>
        <w:t> : </w:t>
      </w:r>
      <w:r w:rsidR="00D063B3">
        <w:rPr>
          <w:rFonts w:ascii="Arial" w:hAnsi="Arial" w:cs="Arial"/>
          <w:b/>
          <w:bCs/>
          <w:sz w:val="24"/>
          <w:szCs w:val="24"/>
        </w:rPr>
        <w:t>« </w:t>
      </w:r>
      <w:r w:rsidR="0092285D">
        <w:rPr>
          <w:rFonts w:ascii="Arial" w:hAnsi="Arial" w:cs="Arial"/>
          <w:i/>
          <w:iCs/>
          <w:sz w:val="24"/>
          <w:szCs w:val="24"/>
        </w:rPr>
        <w:t>Cieux distillez d’en haut votre rosée, que descende le Juste, comme une pluie, que la terre s’ouvre et que germe le Sauveur »</w:t>
      </w:r>
    </w:p>
    <w:p w14:paraId="1ED1F1AE" w14:textId="7742AD46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l’Accueil</w:t>
      </w:r>
      <w:r w:rsidR="00DC4D5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C4D5E" w:rsidRPr="00DC4D5E">
        <w:rPr>
          <w:rFonts w:ascii="Arial" w:hAnsi="Arial" w:cs="Arial"/>
          <w:b/>
          <w:bCs/>
          <w:sz w:val="24"/>
          <w:szCs w:val="24"/>
        </w:rPr>
        <w:t xml:space="preserve">livret rose : n°1 Aube nouvelle/Entrons </w:t>
      </w:r>
      <w:proofErr w:type="spellStart"/>
      <w:r w:rsidR="00DC4D5E" w:rsidRPr="00DC4D5E">
        <w:rPr>
          <w:rFonts w:ascii="Arial" w:hAnsi="Arial" w:cs="Arial"/>
          <w:b/>
          <w:bCs/>
          <w:sz w:val="24"/>
          <w:szCs w:val="24"/>
        </w:rPr>
        <w:t>dns</w:t>
      </w:r>
      <w:proofErr w:type="spellEnd"/>
      <w:r w:rsidR="00DC4D5E" w:rsidRPr="00DC4D5E">
        <w:rPr>
          <w:rFonts w:ascii="Arial" w:hAnsi="Arial" w:cs="Arial"/>
          <w:b/>
          <w:bCs/>
          <w:sz w:val="24"/>
          <w:szCs w:val="24"/>
        </w:rPr>
        <w:t xml:space="preserve"> l’espérance n°2 et vienne la rosée n°9</w:t>
      </w:r>
    </w:p>
    <w:p w14:paraId="4420CCCC" w14:textId="0261AF2D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0CCD68A6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8B7919">
        <w:rPr>
          <w:rFonts w:ascii="Arial" w:hAnsi="Arial" w:cs="Arial"/>
          <w:sz w:val="24"/>
          <w:szCs w:val="24"/>
        </w:rPr>
        <w:t xml:space="preserve">Livre du prophète </w:t>
      </w:r>
      <w:r w:rsidR="0092285D">
        <w:rPr>
          <w:rFonts w:ascii="Arial" w:hAnsi="Arial" w:cs="Arial"/>
          <w:sz w:val="24"/>
          <w:szCs w:val="24"/>
        </w:rPr>
        <w:t>Michée 5,1-4a</w:t>
      </w:r>
    </w:p>
    <w:p w14:paraId="779680E3" w14:textId="344A7992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2285D">
        <w:rPr>
          <w:rFonts w:ascii="Arial" w:hAnsi="Arial" w:cs="Arial"/>
          <w:b/>
          <w:bCs/>
          <w:sz w:val="24"/>
          <w:szCs w:val="24"/>
        </w:rPr>
        <w:t xml:space="preserve">psaume 79, Dieu, </w:t>
      </w:r>
      <w:r w:rsidR="005608B4">
        <w:rPr>
          <w:rFonts w:ascii="Arial" w:hAnsi="Arial" w:cs="Arial"/>
          <w:b/>
          <w:bCs/>
          <w:sz w:val="24"/>
          <w:szCs w:val="24"/>
        </w:rPr>
        <w:t>fais-nous</w:t>
      </w:r>
      <w:r w:rsidR="0092285D">
        <w:rPr>
          <w:rFonts w:ascii="Arial" w:hAnsi="Arial" w:cs="Arial"/>
          <w:b/>
          <w:bCs/>
          <w:sz w:val="24"/>
          <w:szCs w:val="24"/>
        </w:rPr>
        <w:t xml:space="preserve"> revenir, que ton visage s’éclaire et nous serons sauvé</w:t>
      </w:r>
      <w:r w:rsidR="005608B4">
        <w:rPr>
          <w:rFonts w:ascii="Arial" w:hAnsi="Arial" w:cs="Arial"/>
          <w:b/>
          <w:bCs/>
          <w:sz w:val="24"/>
          <w:szCs w:val="24"/>
        </w:rPr>
        <w:t>s</w:t>
      </w:r>
      <w:r w:rsidR="0092285D">
        <w:rPr>
          <w:rFonts w:ascii="Arial" w:hAnsi="Arial" w:cs="Arial"/>
          <w:b/>
          <w:bCs/>
          <w:sz w:val="24"/>
          <w:szCs w:val="24"/>
        </w:rPr>
        <w:t> !</w:t>
      </w:r>
    </w:p>
    <w:p w14:paraId="1FAEF2DB" w14:textId="19035E20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proofErr w:type="gramStart"/>
      <w:r w:rsidRPr="0057161D">
        <w:rPr>
          <w:rFonts w:ascii="Arial" w:hAnsi="Arial" w:cs="Arial"/>
          <w:b/>
          <w:bCs/>
          <w:sz w:val="24"/>
          <w:szCs w:val="24"/>
        </w:rPr>
        <w:t>lecture </w:t>
      </w:r>
      <w:r w:rsidR="00092C2F">
        <w:rPr>
          <w:rFonts w:ascii="Arial" w:hAnsi="Arial" w:cs="Arial"/>
          <w:sz w:val="24"/>
          <w:szCs w:val="24"/>
        </w:rPr>
        <w:t xml:space="preserve"> He</w:t>
      </w:r>
      <w:proofErr w:type="gramEnd"/>
      <w:r w:rsidR="00092C2F">
        <w:rPr>
          <w:rFonts w:ascii="Arial" w:hAnsi="Arial" w:cs="Arial"/>
          <w:sz w:val="24"/>
          <w:szCs w:val="24"/>
        </w:rPr>
        <w:t xml:space="preserve"> 10,5-10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6E204DC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  <w:r w:rsidR="007E13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5C378B" w14:textId="237EBE16" w:rsidR="00DF5101" w:rsidRPr="00846EDF" w:rsidRDefault="00092C2F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Voici la servante du seigneur, que tout m’advienne selon ta parole.</w:t>
      </w:r>
    </w:p>
    <w:p w14:paraId="5BB28AA0" w14:textId="136AAE16" w:rsidR="00D134AC" w:rsidRPr="0057161D" w:rsidRDefault="003D5C0C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> </w:t>
      </w:r>
      <w:r w:rsidR="00846EDF">
        <w:rPr>
          <w:rFonts w:ascii="Arial" w:hAnsi="Arial" w:cs="Arial"/>
          <w:sz w:val="24"/>
          <w:szCs w:val="24"/>
        </w:rPr>
        <w:t xml:space="preserve">Lc </w:t>
      </w:r>
      <w:r w:rsidR="00092C2F">
        <w:rPr>
          <w:rFonts w:ascii="Arial" w:hAnsi="Arial" w:cs="Arial"/>
          <w:sz w:val="24"/>
          <w:szCs w:val="24"/>
        </w:rPr>
        <w:t>1,39-45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3FCC7018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DC4D5E">
        <w:rPr>
          <w:rFonts w:ascii="Arial" w:hAnsi="Arial" w:cs="Arial"/>
          <w:sz w:val="24"/>
          <w:szCs w:val="24"/>
        </w:rPr>
        <w:t xml:space="preserve">livret vert : 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DC4D5E" w:rsidRPr="00DC4D5E">
        <w:rPr>
          <w:rFonts w:ascii="Arial" w:hAnsi="Arial" w:cs="Arial"/>
          <w:b/>
          <w:bCs/>
          <w:sz w:val="24"/>
          <w:szCs w:val="24"/>
        </w:rPr>
        <w:t>Recevez le corps du Christ page 35, demeurez en mon amour p14</w:t>
      </w:r>
    </w:p>
    <w:p w14:paraId="47D335EC" w14:textId="53FE3C7B" w:rsidR="00300117" w:rsidRDefault="00410EAA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410EAA">
        <w:rPr>
          <w:rFonts w:ascii="Arial" w:hAnsi="Arial" w:cs="Arial"/>
          <w:sz w:val="24"/>
          <w:szCs w:val="24"/>
        </w:rPr>
        <w:sym w:font="Wingdings" w:char="F0E8"/>
      </w:r>
      <w:r w:rsidRPr="00410EAA">
        <w:rPr>
          <w:rFonts w:ascii="Arial" w:hAnsi="Arial" w:cs="Arial"/>
          <w:sz w:val="24"/>
          <w:szCs w:val="24"/>
        </w:rPr>
        <w:t xml:space="preserve"> </w:t>
      </w:r>
      <w:r w:rsidR="008B7919">
        <w:rPr>
          <w:rFonts w:ascii="Arial" w:hAnsi="Arial" w:cs="Arial"/>
          <w:sz w:val="24"/>
          <w:szCs w:val="24"/>
        </w:rPr>
        <w:t>Essayer de c</w:t>
      </w:r>
      <w:r w:rsidRPr="00410EAA">
        <w:rPr>
          <w:rFonts w:ascii="Arial" w:hAnsi="Arial" w:cs="Arial"/>
          <w:sz w:val="24"/>
          <w:szCs w:val="24"/>
        </w:rPr>
        <w:t>ommencer le chant de communion dès que le prêtre a communié. Ne pas reprendre le chant même si la procession n’est pas finie</w:t>
      </w:r>
      <w:r w:rsidR="00300117">
        <w:rPr>
          <w:rFonts w:ascii="Arial" w:hAnsi="Arial" w:cs="Arial"/>
          <w:sz w:val="24"/>
          <w:szCs w:val="24"/>
        </w:rPr>
        <w:t xml:space="preserve"> : </w:t>
      </w:r>
    </w:p>
    <w:p w14:paraId="7942D5E0" w14:textId="332115BF" w:rsidR="00B5325E" w:rsidRPr="0057161D" w:rsidRDefault="00300117" w:rsidP="003001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46EDF">
        <w:rPr>
          <w:rFonts w:ascii="Arial" w:hAnsi="Arial" w:cs="Arial"/>
          <w:b/>
          <w:bCs/>
          <w:sz w:val="24"/>
          <w:szCs w:val="24"/>
        </w:rPr>
        <w:t>Institution générale du Missel romain paru en 2000) IGMR. 86</w:t>
      </w:r>
      <w:r w:rsidRPr="00300117">
        <w:rPr>
          <w:rFonts w:ascii="Arial" w:hAnsi="Arial" w:cs="Arial"/>
          <w:sz w:val="24"/>
          <w:szCs w:val="24"/>
        </w:rPr>
        <w:t xml:space="preserve">. Pendant que le prêtre consomme le sacrement, on commence le chant de communion, pour exprimer l’union spirituelle entre les communiants par l’unité des voix, montrer la joie du </w:t>
      </w:r>
      <w:r w:rsidR="00846EDF" w:rsidRPr="00300117">
        <w:rPr>
          <w:rFonts w:ascii="Arial" w:hAnsi="Arial" w:cs="Arial"/>
          <w:sz w:val="24"/>
          <w:szCs w:val="24"/>
        </w:rPr>
        <w:t>cœur</w:t>
      </w:r>
      <w:r w:rsidRPr="00300117">
        <w:rPr>
          <w:rFonts w:ascii="Arial" w:hAnsi="Arial" w:cs="Arial"/>
          <w:sz w:val="24"/>
          <w:szCs w:val="24"/>
        </w:rPr>
        <w:t xml:space="preserve">, mettre davantage en lumière le caractère ‘communautaire’ de la procession qui mène à recevoir l’Eucharistie. Le chant se prolonge pendant que les fidèles reçoivent le </w:t>
      </w:r>
      <w:proofErr w:type="gramStart"/>
      <w:r w:rsidRPr="00300117">
        <w:rPr>
          <w:rFonts w:ascii="Arial" w:hAnsi="Arial" w:cs="Arial"/>
          <w:sz w:val="24"/>
          <w:szCs w:val="24"/>
        </w:rPr>
        <w:t>Sacrement..</w:t>
      </w:r>
      <w:proofErr w:type="gramEnd"/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71C92AF9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DC4D5E" w:rsidRPr="00DC4D5E">
        <w:rPr>
          <w:rFonts w:ascii="Arial" w:hAnsi="Arial" w:cs="Arial"/>
          <w:b/>
          <w:bCs/>
          <w:sz w:val="24"/>
          <w:szCs w:val="24"/>
        </w:rPr>
        <w:t>venez divin Messie n°8 Livret rose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D5C0C"/>
    <w:rsid w:val="00410EAA"/>
    <w:rsid w:val="00416B26"/>
    <w:rsid w:val="00434AA5"/>
    <w:rsid w:val="00442C70"/>
    <w:rsid w:val="00475928"/>
    <w:rsid w:val="004D4EFB"/>
    <w:rsid w:val="004E6AE9"/>
    <w:rsid w:val="004F0422"/>
    <w:rsid w:val="00514B73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26497"/>
    <w:rsid w:val="00627ED7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E041B"/>
    <w:rsid w:val="007E1312"/>
    <w:rsid w:val="0080398F"/>
    <w:rsid w:val="00834452"/>
    <w:rsid w:val="00846EDF"/>
    <w:rsid w:val="008B1551"/>
    <w:rsid w:val="008B3A1D"/>
    <w:rsid w:val="008B7919"/>
    <w:rsid w:val="008E0A3F"/>
    <w:rsid w:val="008F5AB6"/>
    <w:rsid w:val="0092285D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5101"/>
    <w:rsid w:val="00DF5699"/>
    <w:rsid w:val="00E455B3"/>
    <w:rsid w:val="00EA5030"/>
    <w:rsid w:val="00ED4F29"/>
    <w:rsid w:val="00F01E91"/>
    <w:rsid w:val="00F75524"/>
    <w:rsid w:val="00F75CE5"/>
    <w:rsid w:val="00F814D0"/>
    <w:rsid w:val="00F918C6"/>
    <w:rsid w:val="00FB45D0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5</cp:revision>
  <cp:lastPrinted>2024-11-27T16:02:00Z</cp:lastPrinted>
  <dcterms:created xsi:type="dcterms:W3CDTF">2024-11-27T16:01:00Z</dcterms:created>
  <dcterms:modified xsi:type="dcterms:W3CDTF">2024-11-28T13:24:00Z</dcterms:modified>
</cp:coreProperties>
</file>